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D93D" w14:textId="77777777" w:rsidR="004857AC" w:rsidRPr="00131951" w:rsidRDefault="009E5655" w:rsidP="00131951">
      <w:pPr>
        <w:pStyle w:val="xmsonormal"/>
        <w:jc w:val="center"/>
        <w:rPr>
          <w:color w:val="000000"/>
          <w:sz w:val="27"/>
          <w:szCs w:val="27"/>
        </w:rPr>
      </w:pPr>
      <w:r>
        <w:rPr>
          <w:b/>
          <w:sz w:val="32"/>
        </w:rPr>
        <w:t>Séminaire d'hébreu-études juives</w:t>
      </w:r>
      <w:r w:rsidR="00131951" w:rsidRPr="00131951">
        <w:rPr>
          <w:rFonts w:ascii="Calibri" w:hAnsi="Calibri" w:cs="Calibri"/>
          <w:color w:val="000000"/>
        </w:rPr>
        <w:t xml:space="preserve"> </w:t>
      </w:r>
      <w:r w:rsidR="00131951">
        <w:rPr>
          <w:rFonts w:ascii="Calibri" w:hAnsi="Calibri" w:cs="Calibri"/>
          <w:color w:val="000000"/>
        </w:rPr>
        <w:t xml:space="preserve">- </w:t>
      </w:r>
      <w:r w:rsidR="00131951" w:rsidRPr="00131951">
        <w:rPr>
          <w:rFonts w:ascii="Calibri" w:hAnsi="Calibri" w:cs="Calibri"/>
          <w:b/>
          <w:bCs/>
          <w:color w:val="000000"/>
          <w:sz w:val="32"/>
          <w:szCs w:val="32"/>
        </w:rPr>
        <w:t>Deuxième semestre 2021-2022</w:t>
      </w:r>
    </w:p>
    <w:p w14:paraId="1A9BE01D" w14:textId="77777777" w:rsidR="004857AC" w:rsidRDefault="009E5655">
      <w:pPr>
        <w:pStyle w:val="Corpsdetexte"/>
        <w:spacing w:line="292" w:lineRule="exact"/>
        <w:ind w:left="2384" w:right="2376"/>
        <w:jc w:val="center"/>
      </w:pPr>
      <w:r>
        <w:t xml:space="preserve">Responsables : Sophie </w:t>
      </w:r>
      <w:proofErr w:type="spellStart"/>
      <w:r>
        <w:t>Nezri</w:t>
      </w:r>
      <w:proofErr w:type="spellEnd"/>
      <w:r>
        <w:t xml:space="preserve">-Dufour, Cyril </w:t>
      </w:r>
      <w:proofErr w:type="spellStart"/>
      <w:r>
        <w:t>Aslanov</w:t>
      </w:r>
      <w:proofErr w:type="spellEnd"/>
      <w:r>
        <w:t xml:space="preserve"> et Edouard Robberechts</w:t>
      </w:r>
    </w:p>
    <w:p w14:paraId="68F1820A" w14:textId="77777777" w:rsidR="004857AC" w:rsidRDefault="004857AC">
      <w:pPr>
        <w:pStyle w:val="Corpsdetexte"/>
        <w:spacing w:before="2"/>
      </w:pPr>
    </w:p>
    <w:p w14:paraId="14169ABE" w14:textId="77777777" w:rsidR="004857AC" w:rsidRDefault="009E5655">
      <w:pPr>
        <w:ind w:left="2384" w:right="2379"/>
        <w:jc w:val="center"/>
        <w:rPr>
          <w:sz w:val="24"/>
        </w:rPr>
      </w:pPr>
      <w:r>
        <w:rPr>
          <w:sz w:val="24"/>
        </w:rPr>
        <w:t xml:space="preserve">Les séances auront lieu à la </w:t>
      </w:r>
      <w:r w:rsidR="00DB6595">
        <w:rPr>
          <w:b/>
          <w:sz w:val="24"/>
        </w:rPr>
        <w:t>MMSH les lundis à partir de 14</w:t>
      </w:r>
      <w:r>
        <w:rPr>
          <w:b/>
          <w:sz w:val="24"/>
        </w:rPr>
        <w:t>h en salle 1</w:t>
      </w:r>
      <w:r w:rsidR="00DB6595">
        <w:rPr>
          <w:b/>
          <w:sz w:val="24"/>
        </w:rPr>
        <w:t xml:space="preserve"> </w:t>
      </w:r>
      <w:r w:rsidR="00DB6595" w:rsidRPr="00DB6595">
        <w:rPr>
          <w:bCs/>
          <w:sz w:val="24"/>
        </w:rPr>
        <w:t>(1h30 par séance)</w:t>
      </w:r>
      <w:r>
        <w:rPr>
          <w:b/>
          <w:sz w:val="24"/>
        </w:rPr>
        <w:t xml:space="preserve"> </w:t>
      </w:r>
      <w:r>
        <w:rPr>
          <w:sz w:val="24"/>
        </w:rPr>
        <w:t>avec le programme suivant.</w:t>
      </w:r>
    </w:p>
    <w:p w14:paraId="423B2E16" w14:textId="77777777" w:rsidR="004857AC" w:rsidRDefault="004857AC">
      <w:pPr>
        <w:pStyle w:val="Corpsdetexte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6237"/>
        <w:gridCol w:w="6237"/>
      </w:tblGrid>
      <w:tr w:rsidR="004857AC" w14:paraId="14D9F7F0" w14:textId="77777777">
        <w:trPr>
          <w:trHeight w:val="881"/>
        </w:trPr>
        <w:tc>
          <w:tcPr>
            <w:tcW w:w="1420" w:type="dxa"/>
          </w:tcPr>
          <w:p w14:paraId="7363CB45" w14:textId="77777777" w:rsidR="004857AC" w:rsidRDefault="00DB6595" w:rsidP="00D17ECB">
            <w:pPr>
              <w:pStyle w:val="TableParagraph"/>
              <w:spacing w:before="2"/>
              <w:ind w:left="250"/>
              <w:rPr>
                <w:sz w:val="24"/>
              </w:rPr>
            </w:pPr>
            <w:r>
              <w:rPr>
                <w:sz w:val="24"/>
              </w:rPr>
              <w:t>24/01/22</w:t>
            </w:r>
          </w:p>
        </w:tc>
        <w:tc>
          <w:tcPr>
            <w:tcW w:w="6237" w:type="dxa"/>
          </w:tcPr>
          <w:p w14:paraId="567A08A1" w14:textId="77777777" w:rsidR="00DB6595" w:rsidRPr="00DB6595" w:rsidRDefault="00DB6595">
            <w:pPr>
              <w:pStyle w:val="TableParagraph"/>
              <w:spacing w:line="275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DB6595">
              <w:rPr>
                <w:b/>
                <w:bCs/>
                <w:color w:val="000000"/>
                <w:sz w:val="24"/>
                <w:szCs w:val="24"/>
              </w:rPr>
              <w:t>Magali JEQUIER</w:t>
            </w:r>
          </w:p>
          <w:p w14:paraId="22A9FE5A" w14:textId="77777777" w:rsidR="004857AC" w:rsidRDefault="00DB6595">
            <w:pPr>
              <w:pStyle w:val="TableParagraph"/>
              <w:spacing w:line="275" w:lineRule="exact"/>
              <w:rPr>
                <w:sz w:val="24"/>
              </w:rPr>
            </w:pPr>
            <w:r w:rsidRPr="00DB6595">
              <w:rPr>
                <w:color w:val="000000"/>
                <w:sz w:val="24"/>
                <w:szCs w:val="24"/>
              </w:rPr>
              <w:t>Transmission juive et hellénisme, la lettre d’Aristée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237" w:type="dxa"/>
          </w:tcPr>
          <w:p w14:paraId="6E8F91D1" w14:textId="77777777" w:rsidR="004857AC" w:rsidRDefault="004857AC">
            <w:pPr>
              <w:pStyle w:val="TableParagraph"/>
              <w:rPr>
                <w:sz w:val="24"/>
              </w:rPr>
            </w:pPr>
          </w:p>
        </w:tc>
      </w:tr>
      <w:tr w:rsidR="004857AC" w14:paraId="1EFFB0E4" w14:textId="77777777">
        <w:trPr>
          <w:trHeight w:val="878"/>
        </w:trPr>
        <w:tc>
          <w:tcPr>
            <w:tcW w:w="1420" w:type="dxa"/>
          </w:tcPr>
          <w:p w14:paraId="0BB9720B" w14:textId="77777777" w:rsidR="004857AC" w:rsidRDefault="00D949E3">
            <w:pPr>
              <w:pStyle w:val="TableParagraph"/>
              <w:spacing w:line="291" w:lineRule="exact"/>
              <w:ind w:left="250"/>
              <w:rPr>
                <w:sz w:val="24"/>
              </w:rPr>
            </w:pPr>
            <w:r>
              <w:rPr>
                <w:sz w:val="24"/>
              </w:rPr>
              <w:t>21</w:t>
            </w:r>
            <w:r w:rsidR="005948B6">
              <w:rPr>
                <w:sz w:val="24"/>
              </w:rPr>
              <w:t>/02/22</w:t>
            </w:r>
          </w:p>
          <w:p w14:paraId="6458D5D4" w14:textId="77777777" w:rsidR="004857AC" w:rsidRDefault="004857AC">
            <w:pPr>
              <w:pStyle w:val="TableParagraph"/>
              <w:spacing w:before="3" w:line="240" w:lineRule="auto"/>
              <w:ind w:left="266"/>
              <w:rPr>
                <w:sz w:val="24"/>
              </w:rPr>
            </w:pPr>
          </w:p>
        </w:tc>
        <w:tc>
          <w:tcPr>
            <w:tcW w:w="6237" w:type="dxa"/>
          </w:tcPr>
          <w:p w14:paraId="3F100AF2" w14:textId="77777777" w:rsidR="005948B6" w:rsidRPr="005948B6" w:rsidRDefault="005948B6" w:rsidP="00314C87">
            <w:pPr>
              <w:pStyle w:val="TableParagraph"/>
              <w:spacing w:before="3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Christine PAQUOLA</w:t>
            </w:r>
          </w:p>
          <w:p w14:paraId="6580B317" w14:textId="77777777" w:rsidR="004857AC" w:rsidRDefault="005948B6" w:rsidP="00314C87">
            <w:pPr>
              <w:pStyle w:val="TableParagraph"/>
              <w:spacing w:before="3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 xml:space="preserve">"L'être humain perdu au Paradis" : commentaire herméneutique des épisodes 2 et 3 de la </w:t>
            </w:r>
            <w:r w:rsidRPr="005948B6">
              <w:rPr>
                <w:i/>
                <w:iCs/>
                <w:color w:val="000000"/>
                <w:sz w:val="24"/>
                <w:szCs w:val="24"/>
              </w:rPr>
              <w:t>Genèse</w:t>
            </w:r>
          </w:p>
        </w:tc>
        <w:tc>
          <w:tcPr>
            <w:tcW w:w="6237" w:type="dxa"/>
          </w:tcPr>
          <w:p w14:paraId="33146E69" w14:textId="77777777" w:rsidR="00BE21A4" w:rsidRPr="005948B6" w:rsidRDefault="00BE21A4" w:rsidP="00BE21A4">
            <w:pPr>
              <w:pStyle w:val="xmsonormal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948B6">
              <w:rPr>
                <w:rFonts w:ascii="Calibri" w:hAnsi="Calibri" w:cs="Calibri"/>
                <w:b/>
                <w:bCs/>
                <w:color w:val="000000"/>
              </w:rPr>
              <w:t>Mireille PROVANSAL</w:t>
            </w:r>
          </w:p>
          <w:p w14:paraId="31DC7A01" w14:textId="77777777" w:rsidR="00BE21A4" w:rsidRPr="005948B6" w:rsidRDefault="00BE21A4" w:rsidP="00BE21A4">
            <w:pPr>
              <w:pStyle w:val="xmsonormal"/>
              <w:jc w:val="both"/>
              <w:rPr>
                <w:color w:val="000000"/>
              </w:rPr>
            </w:pPr>
            <w:r w:rsidRPr="005948B6">
              <w:rPr>
                <w:rFonts w:ascii="Calibri" w:hAnsi="Calibri" w:cs="Calibri"/>
                <w:color w:val="000000"/>
              </w:rPr>
              <w:t>XIXème siècle en Lorraine : des juifs en quête d’intégration</w:t>
            </w:r>
          </w:p>
          <w:p w14:paraId="156356A5" w14:textId="77777777" w:rsidR="004857AC" w:rsidRDefault="004857AC" w:rsidP="00314C87">
            <w:pPr>
              <w:pStyle w:val="TableParagraph"/>
              <w:spacing w:before="3"/>
              <w:rPr>
                <w:sz w:val="24"/>
              </w:rPr>
            </w:pPr>
          </w:p>
        </w:tc>
      </w:tr>
      <w:tr w:rsidR="004857AC" w14:paraId="0AC79193" w14:textId="77777777">
        <w:trPr>
          <w:trHeight w:val="878"/>
        </w:trPr>
        <w:tc>
          <w:tcPr>
            <w:tcW w:w="1420" w:type="dxa"/>
          </w:tcPr>
          <w:p w14:paraId="5231D01A" w14:textId="77777777" w:rsidR="004857AC" w:rsidRDefault="005948B6">
            <w:pPr>
              <w:pStyle w:val="TableParagraph"/>
              <w:spacing w:before="3"/>
              <w:ind w:left="250"/>
              <w:rPr>
                <w:sz w:val="24"/>
              </w:rPr>
            </w:pPr>
            <w:r>
              <w:rPr>
                <w:sz w:val="24"/>
              </w:rPr>
              <w:t>07/03/22</w:t>
            </w:r>
          </w:p>
          <w:p w14:paraId="5C0954E7" w14:textId="77777777" w:rsidR="004857AC" w:rsidRDefault="004857AC">
            <w:pPr>
              <w:pStyle w:val="TableParagraph"/>
              <w:ind w:left="279"/>
              <w:rPr>
                <w:sz w:val="24"/>
              </w:rPr>
            </w:pPr>
          </w:p>
        </w:tc>
        <w:tc>
          <w:tcPr>
            <w:tcW w:w="6237" w:type="dxa"/>
          </w:tcPr>
          <w:p w14:paraId="6D0B0B7D" w14:textId="77777777" w:rsidR="005948B6" w:rsidRPr="005948B6" w:rsidRDefault="005948B6" w:rsidP="005948B6">
            <w:pPr>
              <w:pStyle w:val="xmsonormal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5948B6">
              <w:rPr>
                <w:rFonts w:ascii="Calibri" w:hAnsi="Calibri" w:cs="Calibri"/>
                <w:b/>
                <w:bCs/>
                <w:color w:val="000000"/>
              </w:rPr>
              <w:t>Michel JONIN </w:t>
            </w:r>
          </w:p>
          <w:p w14:paraId="5BC4B7FD" w14:textId="77777777" w:rsidR="005948B6" w:rsidRPr="005948B6" w:rsidRDefault="005948B6" w:rsidP="005948B6">
            <w:pPr>
              <w:pStyle w:val="xmsonormal"/>
              <w:jc w:val="both"/>
              <w:rPr>
                <w:color w:val="000000"/>
              </w:rPr>
            </w:pPr>
            <w:r w:rsidRPr="005948B6">
              <w:rPr>
                <w:rFonts w:ascii="Calibri" w:hAnsi="Calibri" w:cs="Calibri"/>
                <w:color w:val="000000"/>
              </w:rPr>
              <w:t>Les accusations antijuives de crimes rituels et leur récupération hagiographique. Étude de quelques exemples médiévaux </w:t>
            </w:r>
          </w:p>
          <w:p w14:paraId="24D34F3C" w14:textId="77777777" w:rsidR="004857AC" w:rsidRDefault="004857AC" w:rsidP="00314C87">
            <w:pPr>
              <w:pStyle w:val="TableParagraph"/>
              <w:rPr>
                <w:sz w:val="24"/>
              </w:rPr>
            </w:pPr>
          </w:p>
        </w:tc>
        <w:tc>
          <w:tcPr>
            <w:tcW w:w="6237" w:type="dxa"/>
          </w:tcPr>
          <w:p w14:paraId="599380F8" w14:textId="77777777" w:rsidR="004857AC" w:rsidRDefault="004857AC" w:rsidP="005948B6">
            <w:pPr>
              <w:pStyle w:val="TableParagraph"/>
              <w:rPr>
                <w:sz w:val="24"/>
              </w:rPr>
            </w:pPr>
          </w:p>
        </w:tc>
      </w:tr>
      <w:tr w:rsidR="004857AC" w14:paraId="69A9B104" w14:textId="77777777">
        <w:trPr>
          <w:trHeight w:val="1174"/>
        </w:trPr>
        <w:tc>
          <w:tcPr>
            <w:tcW w:w="1420" w:type="dxa"/>
          </w:tcPr>
          <w:p w14:paraId="252861F6" w14:textId="77777777" w:rsidR="004857AC" w:rsidRDefault="005948B6">
            <w:pPr>
              <w:pStyle w:val="TableParagraph"/>
              <w:spacing w:before="2"/>
              <w:ind w:left="250"/>
              <w:rPr>
                <w:sz w:val="24"/>
              </w:rPr>
            </w:pPr>
            <w:r>
              <w:rPr>
                <w:sz w:val="24"/>
              </w:rPr>
              <w:t>14/03/22</w:t>
            </w:r>
          </w:p>
          <w:p w14:paraId="1942DEA1" w14:textId="77777777" w:rsidR="004857AC" w:rsidRDefault="004857AC">
            <w:pPr>
              <w:pStyle w:val="TableParagraph"/>
              <w:ind w:left="266"/>
              <w:rPr>
                <w:sz w:val="24"/>
              </w:rPr>
            </w:pPr>
          </w:p>
        </w:tc>
        <w:tc>
          <w:tcPr>
            <w:tcW w:w="6237" w:type="dxa"/>
          </w:tcPr>
          <w:p w14:paraId="35638C2C" w14:textId="77777777" w:rsidR="005948B6" w:rsidRPr="005948B6" w:rsidRDefault="005948B6">
            <w:pPr>
              <w:pStyle w:val="TableParagraph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Pandelis MAVROGIANNIS</w:t>
            </w:r>
          </w:p>
          <w:p w14:paraId="47054AFA" w14:textId="77777777" w:rsidR="004857AC" w:rsidRDefault="005948B6">
            <w:pPr>
              <w:pStyle w:val="TableParagraph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>L'apport des sources orales à l'histoire des Juifs ottomans de Marseille dans la première moitié du 20° siècle : émigration, constitution de la communauté, persécutions, reconstruction</w:t>
            </w:r>
          </w:p>
        </w:tc>
        <w:tc>
          <w:tcPr>
            <w:tcW w:w="6237" w:type="dxa"/>
          </w:tcPr>
          <w:p w14:paraId="311A2E3D" w14:textId="77777777" w:rsidR="005948B6" w:rsidRPr="005948B6" w:rsidRDefault="005948B6">
            <w:pPr>
              <w:pStyle w:val="TableParagraph"/>
              <w:spacing w:before="2" w:line="272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Cloé BOUCON </w:t>
            </w:r>
          </w:p>
          <w:p w14:paraId="546CB6B2" w14:textId="77777777" w:rsidR="004857AC" w:rsidRDefault="005948B6">
            <w:pPr>
              <w:pStyle w:val="TableParagraph"/>
              <w:spacing w:before="2" w:line="272" w:lineRule="exact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 xml:space="preserve">L’écriture mémorielle de Clarisse </w:t>
            </w:r>
            <w:proofErr w:type="spellStart"/>
            <w:r w:rsidRPr="005948B6">
              <w:rPr>
                <w:color w:val="000000"/>
                <w:sz w:val="24"/>
                <w:szCs w:val="24"/>
              </w:rPr>
              <w:t>Nicoïdski</w:t>
            </w:r>
            <w:proofErr w:type="spellEnd"/>
            <w:r w:rsidRPr="005948B6">
              <w:rPr>
                <w:color w:val="000000"/>
                <w:sz w:val="24"/>
                <w:szCs w:val="24"/>
              </w:rPr>
              <w:t xml:space="preserve"> entre </w:t>
            </w:r>
            <w:proofErr w:type="spellStart"/>
            <w:r w:rsidRPr="005948B6">
              <w:rPr>
                <w:color w:val="000000"/>
                <w:sz w:val="24"/>
                <w:szCs w:val="24"/>
              </w:rPr>
              <w:t>intratextualité</w:t>
            </w:r>
            <w:proofErr w:type="spellEnd"/>
            <w:r w:rsidRPr="005948B6">
              <w:rPr>
                <w:color w:val="000000"/>
                <w:sz w:val="24"/>
                <w:szCs w:val="24"/>
              </w:rPr>
              <w:t xml:space="preserve"> et intertextualité</w:t>
            </w:r>
          </w:p>
        </w:tc>
      </w:tr>
      <w:tr w:rsidR="004857AC" w14:paraId="3F584926" w14:textId="77777777">
        <w:trPr>
          <w:trHeight w:val="1170"/>
        </w:trPr>
        <w:tc>
          <w:tcPr>
            <w:tcW w:w="1420" w:type="dxa"/>
          </w:tcPr>
          <w:p w14:paraId="2DF8C4F0" w14:textId="77777777" w:rsidR="004857AC" w:rsidRDefault="005948B6">
            <w:pPr>
              <w:pStyle w:val="TableParagraph"/>
              <w:spacing w:line="291" w:lineRule="exact"/>
              <w:ind w:left="250"/>
              <w:rPr>
                <w:sz w:val="24"/>
              </w:rPr>
            </w:pPr>
            <w:r>
              <w:rPr>
                <w:sz w:val="24"/>
              </w:rPr>
              <w:t>21/03/22</w:t>
            </w:r>
          </w:p>
          <w:p w14:paraId="3BA806E6" w14:textId="77777777" w:rsidR="004857AC" w:rsidRDefault="004857AC">
            <w:pPr>
              <w:pStyle w:val="TableParagraph"/>
              <w:ind w:left="266"/>
              <w:rPr>
                <w:sz w:val="24"/>
              </w:rPr>
            </w:pPr>
          </w:p>
        </w:tc>
        <w:tc>
          <w:tcPr>
            <w:tcW w:w="6237" w:type="dxa"/>
          </w:tcPr>
          <w:p w14:paraId="381D8BFC" w14:textId="77777777" w:rsidR="005948B6" w:rsidRPr="005948B6" w:rsidRDefault="005948B6" w:rsidP="00314C87">
            <w:pPr>
              <w:pStyle w:val="TableParagraph"/>
              <w:spacing w:line="24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Maxime DECOUT </w:t>
            </w:r>
          </w:p>
          <w:p w14:paraId="609001A3" w14:textId="77777777" w:rsidR="004857AC" w:rsidRDefault="005948B6" w:rsidP="00314C87">
            <w:pPr>
              <w:pStyle w:val="TableParagraph"/>
              <w:spacing w:line="242" w:lineRule="auto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>Les écritures de la Shoah, de l'après-guerre à l'époque contemporaine</w:t>
            </w:r>
          </w:p>
        </w:tc>
        <w:tc>
          <w:tcPr>
            <w:tcW w:w="6237" w:type="dxa"/>
          </w:tcPr>
          <w:p w14:paraId="0F9BA1CF" w14:textId="77777777" w:rsidR="005948B6" w:rsidRPr="005948B6" w:rsidRDefault="005948B6">
            <w:pPr>
              <w:pStyle w:val="TableParagraph"/>
              <w:spacing w:line="24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Graziella DE MATTEIS </w:t>
            </w:r>
          </w:p>
          <w:p w14:paraId="609B42A3" w14:textId="77777777" w:rsidR="004857AC" w:rsidRDefault="005948B6">
            <w:pPr>
              <w:pStyle w:val="TableParagraph"/>
              <w:spacing w:line="242" w:lineRule="auto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 xml:space="preserve">Les </w:t>
            </w:r>
            <w:r>
              <w:rPr>
                <w:color w:val="000000"/>
                <w:sz w:val="24"/>
                <w:szCs w:val="24"/>
              </w:rPr>
              <w:t>enquêtes contemporaines sur la S</w:t>
            </w:r>
            <w:r w:rsidRPr="005948B6">
              <w:rPr>
                <w:color w:val="000000"/>
                <w:sz w:val="24"/>
                <w:szCs w:val="24"/>
              </w:rPr>
              <w:t xml:space="preserve">hoah (Marcel Cohen, Hélène </w:t>
            </w:r>
            <w:proofErr w:type="spellStart"/>
            <w:r w:rsidRPr="005948B6">
              <w:rPr>
                <w:color w:val="000000"/>
                <w:sz w:val="24"/>
                <w:szCs w:val="24"/>
              </w:rPr>
              <w:t>Cixous</w:t>
            </w:r>
            <w:proofErr w:type="spellEnd"/>
            <w:r w:rsidRPr="005948B6">
              <w:rPr>
                <w:color w:val="000000"/>
                <w:sz w:val="24"/>
                <w:szCs w:val="24"/>
              </w:rPr>
              <w:t xml:space="preserve"> et Marianne Rubinstein)</w:t>
            </w:r>
          </w:p>
        </w:tc>
      </w:tr>
      <w:tr w:rsidR="004857AC" w14:paraId="37DDC940" w14:textId="77777777">
        <w:trPr>
          <w:trHeight w:val="878"/>
        </w:trPr>
        <w:tc>
          <w:tcPr>
            <w:tcW w:w="1420" w:type="dxa"/>
          </w:tcPr>
          <w:p w14:paraId="38FAF9CB" w14:textId="77777777" w:rsidR="004857AC" w:rsidRDefault="005948B6">
            <w:pPr>
              <w:pStyle w:val="TableParagraph"/>
              <w:spacing w:before="2"/>
              <w:ind w:left="250"/>
              <w:rPr>
                <w:sz w:val="24"/>
              </w:rPr>
            </w:pPr>
            <w:r>
              <w:rPr>
                <w:sz w:val="24"/>
              </w:rPr>
              <w:t>04/04/22</w:t>
            </w:r>
          </w:p>
          <w:p w14:paraId="0F4DA310" w14:textId="77777777" w:rsidR="004857AC" w:rsidRDefault="004857AC">
            <w:pPr>
              <w:pStyle w:val="TableParagraph"/>
              <w:ind w:left="279"/>
              <w:rPr>
                <w:sz w:val="24"/>
              </w:rPr>
            </w:pPr>
          </w:p>
        </w:tc>
        <w:tc>
          <w:tcPr>
            <w:tcW w:w="6237" w:type="dxa"/>
          </w:tcPr>
          <w:p w14:paraId="307546C6" w14:textId="77777777" w:rsidR="005948B6" w:rsidRPr="005948B6" w:rsidRDefault="005948B6">
            <w:pPr>
              <w:pStyle w:val="TableParagraph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Sophie VALLAS</w:t>
            </w:r>
          </w:p>
          <w:p w14:paraId="1E28E8FB" w14:textId="77777777" w:rsidR="004857AC" w:rsidRDefault="005948B6">
            <w:pPr>
              <w:pStyle w:val="TableParagraph"/>
              <w:rPr>
                <w:sz w:val="24"/>
              </w:rPr>
            </w:pPr>
            <w:r w:rsidRPr="005948B6">
              <w:rPr>
                <w:i/>
                <w:iCs/>
                <w:color w:val="000000"/>
                <w:sz w:val="24"/>
                <w:szCs w:val="24"/>
              </w:rPr>
              <w:t>Great House</w:t>
            </w:r>
            <w:r w:rsidRPr="005948B6">
              <w:rPr>
                <w:color w:val="000000"/>
                <w:sz w:val="24"/>
                <w:szCs w:val="24"/>
              </w:rPr>
              <w:t>  de Nicole Krauss </w:t>
            </w:r>
          </w:p>
        </w:tc>
        <w:tc>
          <w:tcPr>
            <w:tcW w:w="6237" w:type="dxa"/>
          </w:tcPr>
          <w:p w14:paraId="227EB0DD" w14:textId="77777777" w:rsidR="005948B6" w:rsidRPr="005948B6" w:rsidRDefault="005948B6" w:rsidP="00314C87">
            <w:pPr>
              <w:pStyle w:val="TableParagraph"/>
              <w:spacing w:line="271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Laurence BENARROCHE</w:t>
            </w:r>
          </w:p>
          <w:p w14:paraId="7153D34B" w14:textId="77777777" w:rsidR="004857AC" w:rsidRDefault="005948B6" w:rsidP="00314C87">
            <w:pPr>
              <w:pStyle w:val="TableParagraph"/>
              <w:spacing w:line="271" w:lineRule="exact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>Juifs et Gentils dans </w:t>
            </w:r>
            <w:r w:rsidRPr="005948B6">
              <w:rPr>
                <w:i/>
                <w:iCs/>
                <w:color w:val="000000"/>
                <w:sz w:val="24"/>
                <w:szCs w:val="24"/>
              </w:rPr>
              <w:t>Les Disparus</w:t>
            </w:r>
            <w:r w:rsidRPr="005948B6">
              <w:rPr>
                <w:color w:val="000000"/>
                <w:sz w:val="24"/>
                <w:szCs w:val="24"/>
              </w:rPr>
              <w:t> de Daniel </w:t>
            </w:r>
            <w:proofErr w:type="spellStart"/>
            <w:r w:rsidRPr="005948B6">
              <w:rPr>
                <w:color w:val="000000"/>
                <w:sz w:val="24"/>
                <w:szCs w:val="24"/>
              </w:rPr>
              <w:t>Mendelsohn</w:t>
            </w:r>
            <w:proofErr w:type="spellEnd"/>
          </w:p>
        </w:tc>
      </w:tr>
      <w:tr w:rsidR="004857AC" w14:paraId="1DE934C1" w14:textId="77777777">
        <w:trPr>
          <w:trHeight w:val="586"/>
        </w:trPr>
        <w:tc>
          <w:tcPr>
            <w:tcW w:w="1420" w:type="dxa"/>
          </w:tcPr>
          <w:p w14:paraId="527E7065" w14:textId="77777777" w:rsidR="004857AC" w:rsidRDefault="005948B6">
            <w:pPr>
              <w:pStyle w:val="TableParagraph"/>
              <w:spacing w:before="3"/>
              <w:ind w:left="250"/>
              <w:rPr>
                <w:sz w:val="24"/>
              </w:rPr>
            </w:pPr>
            <w:r>
              <w:rPr>
                <w:sz w:val="24"/>
              </w:rPr>
              <w:t>11/04/22</w:t>
            </w:r>
          </w:p>
          <w:p w14:paraId="57AAABDB" w14:textId="77777777" w:rsidR="004857AC" w:rsidRDefault="004857AC">
            <w:pPr>
              <w:pStyle w:val="TableParagraph"/>
              <w:spacing w:line="271" w:lineRule="exact"/>
              <w:ind w:left="266"/>
              <w:rPr>
                <w:sz w:val="24"/>
              </w:rPr>
            </w:pPr>
          </w:p>
        </w:tc>
        <w:tc>
          <w:tcPr>
            <w:tcW w:w="6237" w:type="dxa"/>
          </w:tcPr>
          <w:p w14:paraId="498FD03E" w14:textId="77777777" w:rsidR="005948B6" w:rsidRPr="005948B6" w:rsidRDefault="005948B6">
            <w:pPr>
              <w:pStyle w:val="TableParagraph"/>
              <w:spacing w:line="271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5948B6">
              <w:rPr>
                <w:b/>
                <w:bCs/>
                <w:color w:val="000000"/>
                <w:sz w:val="24"/>
                <w:szCs w:val="24"/>
              </w:rPr>
              <w:t>Nathan DAMBERGER </w:t>
            </w:r>
          </w:p>
          <w:p w14:paraId="2D34B2A4" w14:textId="77777777" w:rsidR="004857AC" w:rsidRDefault="005948B6">
            <w:pPr>
              <w:pStyle w:val="TableParagraph"/>
              <w:spacing w:line="271" w:lineRule="exact"/>
              <w:rPr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>Les Juifs du Liban entre la Guerre des Six Jours et la Guerre Civile libanaise (1967-1977) : la désagrégation</w:t>
            </w:r>
          </w:p>
        </w:tc>
        <w:tc>
          <w:tcPr>
            <w:tcW w:w="6237" w:type="dxa"/>
          </w:tcPr>
          <w:p w14:paraId="59B6086E" w14:textId="77777777" w:rsidR="005948B6" w:rsidRPr="00131951" w:rsidRDefault="005948B6">
            <w:pPr>
              <w:pStyle w:val="TableParagraph"/>
              <w:spacing w:before="3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31951">
              <w:rPr>
                <w:b/>
                <w:bCs/>
                <w:color w:val="000000"/>
                <w:sz w:val="24"/>
                <w:szCs w:val="24"/>
              </w:rPr>
              <w:t>Cyril ASLANOV</w:t>
            </w:r>
          </w:p>
          <w:p w14:paraId="376E4F69" w14:textId="77777777" w:rsidR="00314C87" w:rsidRDefault="005948B6">
            <w:pPr>
              <w:pStyle w:val="TableParagraph"/>
              <w:spacing w:before="3" w:line="240" w:lineRule="auto"/>
              <w:rPr>
                <w:b/>
                <w:sz w:val="24"/>
              </w:rPr>
            </w:pPr>
            <w:r w:rsidRPr="005948B6">
              <w:rPr>
                <w:color w:val="000000"/>
                <w:sz w:val="24"/>
                <w:szCs w:val="24"/>
              </w:rPr>
              <w:t>“Juifs exquis de r</w:t>
            </w:r>
            <w:r>
              <w:rPr>
                <w:color w:val="000000"/>
                <w:sz w:val="24"/>
                <w:szCs w:val="24"/>
              </w:rPr>
              <w:t xml:space="preserve">ace </w:t>
            </w:r>
            <w:proofErr w:type="spellStart"/>
            <w:r>
              <w:rPr>
                <w:color w:val="000000"/>
                <w:sz w:val="24"/>
                <w:szCs w:val="24"/>
              </w:rPr>
              <w:t>séfar</w:t>
            </w:r>
            <w:r w:rsidRPr="005948B6">
              <w:rPr>
                <w:color w:val="000000"/>
                <w:sz w:val="24"/>
                <w:szCs w:val="24"/>
              </w:rPr>
              <w:t>d</w:t>
            </w:r>
            <w:r>
              <w:rPr>
                <w:color w:val="000000"/>
                <w:sz w:val="24"/>
                <w:szCs w:val="24"/>
              </w:rPr>
              <w:t>it</w:t>
            </w:r>
            <w:r w:rsidRPr="005948B6">
              <w:rPr>
                <w:color w:val="000000"/>
                <w:sz w:val="24"/>
                <w:szCs w:val="24"/>
              </w:rPr>
              <w:t>e</w:t>
            </w:r>
            <w:proofErr w:type="spellEnd"/>
            <w:r w:rsidRPr="005948B6">
              <w:rPr>
                <w:color w:val="000000"/>
                <w:sz w:val="24"/>
                <w:szCs w:val="24"/>
              </w:rPr>
              <w:t>, gentils parleurs français” : les juifs de la Méditerranée entre francisation et défrancisation (1860-2022)</w:t>
            </w:r>
          </w:p>
        </w:tc>
      </w:tr>
    </w:tbl>
    <w:p w14:paraId="1699A024" w14:textId="77777777" w:rsidR="00DB6595" w:rsidRDefault="00DB6595"/>
    <w:sectPr w:rsidR="00DB6595">
      <w:type w:val="continuous"/>
      <w:pgSz w:w="16840" w:h="11900" w:orient="landscape"/>
      <w:pgMar w:top="56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AC"/>
    <w:rsid w:val="00131951"/>
    <w:rsid w:val="00297720"/>
    <w:rsid w:val="00314C87"/>
    <w:rsid w:val="004857AC"/>
    <w:rsid w:val="005948B6"/>
    <w:rsid w:val="009E5655"/>
    <w:rsid w:val="00B21D9E"/>
    <w:rsid w:val="00BE21A4"/>
    <w:rsid w:val="00D17ECB"/>
    <w:rsid w:val="00D949E3"/>
    <w:rsid w:val="00DB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F1C7"/>
  <w15:docId w15:val="{D723CAA5-FE8B-4593-9548-53759CB3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2" w:lineRule="exact"/>
      <w:ind w:left="107"/>
    </w:pPr>
  </w:style>
  <w:style w:type="paragraph" w:styleId="NormalWeb">
    <w:name w:val="Normal (Web)"/>
    <w:basedOn w:val="Normal"/>
    <w:uiPriority w:val="99"/>
    <w:semiHidden/>
    <w:unhideWhenUsed/>
    <w:rsid w:val="00DB6595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he-IL"/>
    </w:rPr>
  </w:style>
  <w:style w:type="paragraph" w:customStyle="1" w:styleId="xmsonormal">
    <w:name w:val="x_msonormal"/>
    <w:basedOn w:val="Normal"/>
    <w:uiPriority w:val="99"/>
    <w:semiHidden/>
    <w:rsid w:val="00DB6595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MISTRE Laure</dc:creator>
  <cp:lastModifiedBy>Sigalit Lavon</cp:lastModifiedBy>
  <cp:revision>2</cp:revision>
  <dcterms:created xsi:type="dcterms:W3CDTF">2022-01-31T10:10:00Z</dcterms:created>
  <dcterms:modified xsi:type="dcterms:W3CDTF">2022-01-31T10:10:00Z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